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D77" w:rsidRPr="00B866BB" w:rsidRDefault="00543D9A" w:rsidP="00870D77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</w:pPr>
      <w:r w:rsidRPr="00B866BB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تقرير البلدية حول</w:t>
      </w:r>
      <w:r w:rsidR="0024011C" w:rsidRPr="00B866BB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 </w:t>
      </w:r>
      <w:r w:rsidR="00870D77" w:rsidRPr="00B866BB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تقدم </w:t>
      </w:r>
      <w:r w:rsidRPr="00B866BB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 xml:space="preserve">إنجاز برنامجها </w:t>
      </w:r>
      <w:r w:rsidR="007B254E" w:rsidRPr="00B866BB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>الاستثماري</w:t>
      </w:r>
    </w:p>
    <w:p w:rsidR="00543D9A" w:rsidRPr="0013794E" w:rsidRDefault="004719AB" w:rsidP="004719AB">
      <w:pPr>
        <w:bidi/>
        <w:spacing w:after="24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>(2022/2023</w:t>
      </w:r>
      <w:r w:rsidR="00870D77" w:rsidRPr="0013794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)</w:t>
      </w:r>
    </w:p>
    <w:p w:rsidR="00217493" w:rsidRPr="00B866BB" w:rsidRDefault="00543D9A" w:rsidP="00ED1F4E">
      <w:pPr>
        <w:bidi/>
        <w:spacing w:before="240" w:after="0" w:line="240" w:lineRule="auto"/>
        <w:ind w:right="-284" w:firstLine="425"/>
        <w:rPr>
          <w:rFonts w:ascii="Simplified Arabic" w:hAnsi="Simplified Arabic" w:cs="Simplified Arabic"/>
          <w:sz w:val="32"/>
          <w:szCs w:val="32"/>
          <w:rtl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البلديات مدعوة إلى موافاة صندوق القروض ومساعدة الجماعات المحلية قبل موفى شهر فيفري من كل سنة بتقرير مبين به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 xml:space="preserve">مدى 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تقدم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 xml:space="preserve">تنفيذ مشاريعها </w:t>
      </w:r>
      <w:r w:rsidR="00217493" w:rsidRPr="00B866BB">
        <w:rPr>
          <w:rFonts w:ascii="Simplified Arabic" w:hAnsi="Simplified Arabic" w:cs="Simplified Arabic"/>
          <w:sz w:val="32"/>
          <w:szCs w:val="32"/>
          <w:rtl/>
        </w:rPr>
        <w:t xml:space="preserve">المبرمجة </w:t>
      </w:r>
      <w:r w:rsidR="00A247A3" w:rsidRPr="00B866BB">
        <w:rPr>
          <w:rFonts w:ascii="Simplified Arabic" w:hAnsi="Simplified Arabic" w:cs="Simplified Arabic" w:hint="cs"/>
          <w:sz w:val="32"/>
          <w:szCs w:val="32"/>
          <w:rtl/>
          <w:lang w:val="en-US" w:bidi="ar-TN"/>
        </w:rPr>
        <w:t>ب</w:t>
      </w:r>
      <w:r w:rsidR="00217493" w:rsidRPr="00B866BB">
        <w:rPr>
          <w:rFonts w:ascii="Simplified Arabic" w:hAnsi="Simplified Arabic" w:cs="Simplified Arabic"/>
          <w:sz w:val="32"/>
          <w:szCs w:val="32"/>
          <w:rtl/>
        </w:rPr>
        <w:t xml:space="preserve">برامجها الاستثمارية السنوية للسنة المنقضية يحتوي 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>على:</w:t>
      </w:r>
    </w:p>
    <w:p w:rsidR="009F62CA" w:rsidRPr="00B866BB" w:rsidRDefault="008B600E" w:rsidP="00B866BB">
      <w:pPr>
        <w:pStyle w:val="Paragraphedeliste"/>
        <w:numPr>
          <w:ilvl w:val="0"/>
          <w:numId w:val="9"/>
        </w:numPr>
        <w:bidi/>
        <w:spacing w:before="240" w:after="0" w:line="240" w:lineRule="auto"/>
        <w:ind w:left="857" w:right="-284" w:hanging="573"/>
        <w:rPr>
          <w:rFonts w:ascii="Simplified Arabic" w:hAnsi="Simplified Arabic" w:cs="Simplified Arabic"/>
          <w:color w:val="C00000"/>
          <w:sz w:val="32"/>
          <w:szCs w:val="32"/>
          <w:rtl/>
        </w:rPr>
      </w:pPr>
      <w:r w:rsidRPr="00B866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كشف </w:t>
      </w:r>
      <w:r w:rsidR="008D0A87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تنفيذ برنامج</w:t>
      </w:r>
      <w:r w:rsidR="0024011C" w:rsidRPr="00B866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BB4326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الاستثمار</w:t>
      </w:r>
      <w:r w:rsidR="008D0A87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السنوي</w:t>
      </w:r>
      <w:r w:rsidR="009F62CA" w:rsidRPr="00B866B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:rsidR="00870D77" w:rsidRPr="00B866BB" w:rsidRDefault="004F438F" w:rsidP="00032D31">
      <w:pPr>
        <w:pStyle w:val="Paragraphedeliste"/>
        <w:bidi/>
        <w:spacing w:before="120" w:line="240" w:lineRule="auto"/>
        <w:ind w:left="0" w:right="-284" w:firstLine="425"/>
        <w:contextualSpacing w:val="0"/>
        <w:rPr>
          <w:rFonts w:asciiTheme="majorHAnsi" w:hAnsiTheme="majorHAnsi"/>
          <w:sz w:val="28"/>
          <w:szCs w:val="28"/>
          <w:rtl/>
        </w:rPr>
      </w:pPr>
      <w:r w:rsidRPr="00B866BB">
        <w:rPr>
          <w:rFonts w:ascii="Simplified Arabic" w:hAnsi="Simplified Arabic" w:cs="Simplified Arabic" w:hint="cs"/>
          <w:sz w:val="32"/>
          <w:szCs w:val="32"/>
          <w:rtl/>
        </w:rPr>
        <w:t xml:space="preserve">كشف 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>تنفيذ برنامج</w:t>
      </w:r>
      <w:r w:rsidRPr="00B866B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الاستثمار السنوي </w:t>
      </w:r>
      <w:r w:rsidRPr="00B866BB">
        <w:rPr>
          <w:rFonts w:ascii="Simplified Arabic" w:hAnsi="Simplified Arabic" w:cs="Simplified Arabic" w:hint="cs"/>
          <w:sz w:val="32"/>
          <w:szCs w:val="32"/>
          <w:rtl/>
        </w:rPr>
        <w:t xml:space="preserve">هو </w:t>
      </w:r>
      <w:r w:rsidR="009F62CA" w:rsidRPr="00B866BB">
        <w:rPr>
          <w:rFonts w:ascii="Simplified Arabic" w:hAnsi="Simplified Arabic" w:cs="Simplified Arabic"/>
          <w:sz w:val="32"/>
          <w:szCs w:val="32"/>
          <w:rtl/>
        </w:rPr>
        <w:t xml:space="preserve">جدول 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مبين به </w:t>
      </w:r>
      <w:r w:rsidR="00217493" w:rsidRPr="00B866BB">
        <w:rPr>
          <w:rFonts w:ascii="Simplified Arabic" w:hAnsi="Simplified Arabic" w:cs="Simplified Arabic"/>
          <w:sz w:val="32"/>
          <w:szCs w:val="32"/>
          <w:rtl/>
        </w:rPr>
        <w:t xml:space="preserve">مدى تقدم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 xml:space="preserve">صرف الاعتمادات </w:t>
      </w:r>
      <w:r w:rsidR="00A247A3" w:rsidRPr="00B866B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A247A3" w:rsidRPr="00B866BB">
        <w:rPr>
          <w:rFonts w:ascii="Simplified Arabic" w:hAnsi="Simplified Arabic" w:cs="Simplified Arabic"/>
          <w:sz w:val="32"/>
          <w:szCs w:val="32"/>
          <w:rtl/>
        </w:rPr>
        <w:t>الاعتمادات التي تم إصدار إذن بصرفها</w:t>
      </w:r>
      <w:r w:rsidR="00A247A3" w:rsidRPr="00B866B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="00FA4C5D" w:rsidRPr="00B866BB">
        <w:rPr>
          <w:rFonts w:ascii="Simplified Arabic" w:hAnsi="Simplified Arabic" w:cs="Simplified Arabic"/>
          <w:sz w:val="32"/>
          <w:szCs w:val="32"/>
          <w:rtl/>
        </w:rPr>
        <w:t>الخاصة ب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المشاريع المبرمجة </w:t>
      </w:r>
      <w:r w:rsidR="00870D77" w:rsidRPr="00B866BB">
        <w:rPr>
          <w:rFonts w:ascii="Simplified Arabic" w:hAnsi="Simplified Arabic" w:cs="Simplified Arabic"/>
          <w:sz w:val="32"/>
          <w:szCs w:val="32"/>
          <w:rtl/>
        </w:rPr>
        <w:t>وفق الأنموذج المعد للغرض</w:t>
      </w:r>
      <w:r w:rsidR="00B866BB" w:rsidRPr="00B866B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43D9A" w:rsidRPr="00B866BB">
        <w:rPr>
          <w:rFonts w:asciiTheme="majorBidi" w:hAnsiTheme="majorBidi" w:cstheme="majorBidi"/>
          <w:sz w:val="28"/>
          <w:szCs w:val="28"/>
          <w:rtl/>
        </w:rPr>
        <w:t>(</w:t>
      </w:r>
      <w:r w:rsidR="00761075" w:rsidRPr="00761075">
        <w:rPr>
          <w:rFonts w:asciiTheme="majorBidi" w:hAnsiTheme="majorBidi"/>
          <w:sz w:val="28"/>
          <w:szCs w:val="28"/>
          <w:rtl/>
        </w:rPr>
        <w:t xml:space="preserve">كشف متابعة إنجاز البرنامج السنوي للاستثمار </w:t>
      </w:r>
      <w:r w:rsidR="004719AB">
        <w:rPr>
          <w:rFonts w:asciiTheme="majorBidi" w:hAnsiTheme="majorBidi" w:hint="cs"/>
          <w:sz w:val="28"/>
          <w:szCs w:val="28"/>
          <w:rtl/>
        </w:rPr>
        <w:t>2022/</w:t>
      </w:r>
      <w:r w:rsidR="00761075" w:rsidRPr="00761075">
        <w:rPr>
          <w:rFonts w:asciiTheme="majorBidi" w:hAnsiTheme="majorBidi"/>
          <w:sz w:val="28"/>
          <w:szCs w:val="28"/>
          <w:rtl/>
        </w:rPr>
        <w:t>202</w:t>
      </w:r>
      <w:r w:rsidR="004719AB">
        <w:rPr>
          <w:rFonts w:asciiTheme="majorBidi" w:hAnsiTheme="majorBidi" w:hint="cs"/>
          <w:sz w:val="28"/>
          <w:szCs w:val="28"/>
          <w:rtl/>
        </w:rPr>
        <w:t>3</w:t>
      </w:r>
      <w:r w:rsidR="00543D9A" w:rsidRPr="00B866BB">
        <w:rPr>
          <w:rFonts w:asciiTheme="majorBidi" w:hAnsiTheme="majorBidi" w:cstheme="majorBidi"/>
          <w:sz w:val="28"/>
          <w:szCs w:val="28"/>
          <w:rtl/>
        </w:rPr>
        <w:t>)</w:t>
      </w:r>
      <w:r w:rsidR="00B866BB" w:rsidRPr="00B866BB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FA4C5D" w:rsidRPr="00B866BB" w:rsidRDefault="00FA4C5D" w:rsidP="00B866BB">
      <w:pPr>
        <w:bidi/>
        <w:spacing w:before="120" w:line="240" w:lineRule="auto"/>
        <w:ind w:right="-284"/>
        <w:rPr>
          <w:rFonts w:ascii="Simplified Arabic" w:hAnsi="Simplified Arabic" w:cs="Simplified Arabic"/>
          <w:sz w:val="32"/>
          <w:szCs w:val="32"/>
          <w:rtl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 xml:space="preserve">ويبين </w:t>
      </w:r>
      <w:r w:rsidR="00E10E10" w:rsidRPr="00B866BB">
        <w:rPr>
          <w:rFonts w:ascii="Simplified Arabic" w:hAnsi="Simplified Arabic" w:cs="Simplified Arabic" w:hint="cs"/>
          <w:sz w:val="32"/>
          <w:szCs w:val="32"/>
          <w:rtl/>
        </w:rPr>
        <w:t>كشف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 تنفيذ برنامج </w:t>
      </w:r>
      <w:r w:rsidR="00870D77" w:rsidRPr="00B866BB">
        <w:rPr>
          <w:rFonts w:ascii="Simplified Arabic" w:hAnsi="Simplified Arabic" w:cs="Simplified Arabic"/>
          <w:sz w:val="32"/>
          <w:szCs w:val="32"/>
          <w:rtl/>
        </w:rPr>
        <w:t>الاستثمار</w:t>
      </w:r>
      <w:r w:rsidR="008D0A87" w:rsidRPr="00B866BB">
        <w:rPr>
          <w:rFonts w:ascii="Simplified Arabic" w:hAnsi="Simplified Arabic" w:cs="Simplified Arabic"/>
          <w:sz w:val="32"/>
          <w:szCs w:val="32"/>
          <w:rtl/>
        </w:rPr>
        <w:t xml:space="preserve"> السنوي المعطيات التالية:</w:t>
      </w:r>
    </w:p>
    <w:p w:rsidR="008D0A87" w:rsidRPr="00B866BB" w:rsidRDefault="008D0A87" w:rsidP="00032D31">
      <w:pPr>
        <w:pStyle w:val="Paragraphedeliste"/>
        <w:numPr>
          <w:ilvl w:val="0"/>
          <w:numId w:val="10"/>
        </w:numPr>
        <w:bidi/>
        <w:ind w:right="-284"/>
        <w:rPr>
          <w:rFonts w:ascii="Simplified Arabic" w:hAnsi="Simplified Arabic" w:cs="Simplified Arabic"/>
          <w:sz w:val="32"/>
          <w:szCs w:val="32"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>المبالغ المبرمج</w:t>
      </w:r>
      <w:r w:rsidR="0088342D">
        <w:rPr>
          <w:rFonts w:ascii="Simplified Arabic" w:hAnsi="Simplified Arabic" w:cs="Simplified Arabic" w:hint="cs"/>
          <w:sz w:val="32"/>
          <w:szCs w:val="32"/>
          <w:rtl/>
        </w:rPr>
        <w:t xml:space="preserve"> صرفها </w:t>
      </w:r>
      <w:r w:rsidR="0088342D" w:rsidRPr="00B866BB">
        <w:rPr>
          <w:rFonts w:ascii="Simplified Arabic" w:hAnsi="Simplified Arabic" w:cs="Simplified Arabic"/>
          <w:sz w:val="32"/>
          <w:szCs w:val="32"/>
          <w:rtl/>
        </w:rPr>
        <w:t>لكل مشروع</w:t>
      </w:r>
      <w:r w:rsidR="0088342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8342D" w:rsidRPr="0088342D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 xml:space="preserve">خلال سنة </w:t>
      </w:r>
      <w:r w:rsidR="00BA6851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202</w:t>
      </w:r>
      <w:r w:rsidR="004719AB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3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>،</w:t>
      </w:r>
    </w:p>
    <w:p w:rsidR="008D0A87" w:rsidRPr="00B866BB" w:rsidRDefault="008D0A87" w:rsidP="00032D31">
      <w:pPr>
        <w:pStyle w:val="Paragraphedeliste"/>
        <w:numPr>
          <w:ilvl w:val="0"/>
          <w:numId w:val="10"/>
        </w:numPr>
        <w:bidi/>
        <w:ind w:right="-284"/>
        <w:rPr>
          <w:rFonts w:ascii="Simplified Arabic" w:hAnsi="Simplified Arabic" w:cs="Simplified Arabic"/>
          <w:sz w:val="32"/>
          <w:szCs w:val="32"/>
        </w:rPr>
      </w:pPr>
      <w:r w:rsidRPr="00B866BB">
        <w:rPr>
          <w:rFonts w:ascii="Simplified Arabic" w:hAnsi="Simplified Arabic" w:cs="Simplified Arabic"/>
          <w:sz w:val="32"/>
          <w:szCs w:val="32"/>
          <w:rtl/>
        </w:rPr>
        <w:t>المبالغ التي تم إصدار إذن بصرفها</w:t>
      </w:r>
      <w:r w:rsidR="0013636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من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eastAsia="+mn-ea"/>
          <w:sz w:val="28"/>
          <w:szCs w:val="28"/>
          <w:rtl/>
          <w:lang w:bidi="ar-TN"/>
        </w:rPr>
        <w:t>01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جانفي إلى غاية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eastAsia="+mn-ea"/>
          <w:sz w:val="28"/>
          <w:szCs w:val="28"/>
          <w:rtl/>
          <w:lang w:bidi="ar-TN"/>
        </w:rPr>
        <w:t>31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eastAsia="+mn-ea"/>
          <w:sz w:val="32"/>
          <w:szCs w:val="32"/>
          <w:rtl/>
          <w:lang w:bidi="ar-TN"/>
        </w:rPr>
        <w:t>ديسمبر</w:t>
      </w:r>
      <w:r w:rsidR="00136360" w:rsidRPr="00477C37">
        <w:rPr>
          <w:rFonts w:eastAsia="+mn-ea"/>
          <w:rtl/>
          <w:lang w:bidi="ar-TN"/>
        </w:rPr>
        <w:t xml:space="preserve"> </w:t>
      </w:r>
      <w:r w:rsidR="00BA6851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202</w:t>
      </w:r>
      <w:r w:rsidR="004719AB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3</w:t>
      </w:r>
      <w:r w:rsidRPr="00B866BB">
        <w:rPr>
          <w:rFonts w:ascii="Simplified Arabic" w:hAnsi="Simplified Arabic" w:cs="Simplified Arabic"/>
          <w:sz w:val="32"/>
          <w:szCs w:val="32"/>
          <w:rtl/>
        </w:rPr>
        <w:t>،</w:t>
      </w:r>
    </w:p>
    <w:p w:rsidR="00136360" w:rsidRDefault="008D0A87" w:rsidP="00032D31">
      <w:pPr>
        <w:pStyle w:val="Paragraphedeliste"/>
        <w:numPr>
          <w:ilvl w:val="0"/>
          <w:numId w:val="10"/>
        </w:numPr>
        <w:bidi/>
        <w:spacing w:before="120" w:line="240" w:lineRule="auto"/>
        <w:ind w:right="-284"/>
        <w:rPr>
          <w:rFonts w:ascii="Simplified Arabic" w:hAnsi="Simplified Arabic" w:cs="Simplified Arabic"/>
          <w:sz w:val="32"/>
          <w:szCs w:val="32"/>
        </w:rPr>
      </w:pPr>
      <w:r w:rsidRPr="00136360">
        <w:rPr>
          <w:rFonts w:ascii="Simplified Arabic" w:hAnsi="Simplified Arabic" w:cs="Simplified Arabic"/>
          <w:sz w:val="32"/>
          <w:szCs w:val="32"/>
          <w:rtl/>
        </w:rPr>
        <w:t>المبالغ التي تم صرفها فعليا من قبل القابض البلدي</w:t>
      </w:r>
      <w:r w:rsidR="00136360" w:rsidRPr="0013636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من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eastAsia="+mn-ea"/>
          <w:sz w:val="28"/>
          <w:szCs w:val="28"/>
          <w:rtl/>
          <w:lang w:bidi="ar-TN"/>
        </w:rPr>
        <w:t>01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جانفي إلى غاية</w:t>
      </w:r>
      <w:r w:rsidR="00ED1320">
        <w:rPr>
          <w:rFonts w:ascii="Simplified Arabic" w:eastAsia="+mn-ea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eastAsia="+mn-ea"/>
          <w:sz w:val="28"/>
          <w:szCs w:val="28"/>
          <w:rtl/>
          <w:lang w:bidi="ar-TN"/>
        </w:rPr>
        <w:t>31</w:t>
      </w:r>
      <w:r w:rsidR="00136360" w:rsidRPr="00477C37">
        <w:rPr>
          <w:rFonts w:eastAsia="+mn-ea"/>
          <w:rtl/>
          <w:lang w:bidi="ar-TN"/>
        </w:rPr>
        <w:t xml:space="preserve"> </w:t>
      </w:r>
      <w:r w:rsidR="00136360" w:rsidRPr="00136360">
        <w:rPr>
          <w:rFonts w:eastAsia="+mn-ea"/>
          <w:sz w:val="32"/>
          <w:szCs w:val="32"/>
          <w:rtl/>
          <w:lang w:bidi="ar-TN"/>
        </w:rPr>
        <w:t>ديسمبر</w:t>
      </w:r>
      <w:r w:rsidR="00136360" w:rsidRPr="00477C37">
        <w:rPr>
          <w:rFonts w:eastAsia="+mn-ea"/>
          <w:rtl/>
          <w:lang w:bidi="ar-TN"/>
        </w:rPr>
        <w:t xml:space="preserve"> </w:t>
      </w:r>
      <w:r w:rsidR="00BA6851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202</w:t>
      </w:r>
      <w:r w:rsidR="004719AB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3</w:t>
      </w:r>
      <w:r w:rsidR="00136360">
        <w:rPr>
          <w:rFonts w:ascii="Simplified Arabic" w:hAnsi="Simplified Arabic" w:cs="Simplified Arabic" w:hint="cs"/>
          <w:sz w:val="32"/>
          <w:szCs w:val="32"/>
          <w:rtl/>
        </w:rPr>
        <w:t>،</w:t>
      </w:r>
    </w:p>
    <w:p w:rsidR="00ED1320" w:rsidRDefault="00ED1320" w:rsidP="00032D31">
      <w:pPr>
        <w:pStyle w:val="Paragraphedeliste"/>
        <w:numPr>
          <w:ilvl w:val="0"/>
          <w:numId w:val="10"/>
        </w:numPr>
        <w:bidi/>
        <w:spacing w:before="120" w:line="240" w:lineRule="auto"/>
        <w:ind w:right="-284"/>
        <w:rPr>
          <w:rFonts w:ascii="Simplified Arabic" w:hAnsi="Simplified Arabic" w:cs="Simplified Arabic"/>
          <w:sz w:val="32"/>
          <w:szCs w:val="32"/>
        </w:rPr>
      </w:pPr>
      <w:r w:rsidRPr="00ED1320">
        <w:rPr>
          <w:rFonts w:ascii="Simplified Arabic" w:eastAsia="+mn-ea" w:hAnsi="Simplified Arabic" w:cs="Simplified Arabic"/>
          <w:sz w:val="32"/>
          <w:szCs w:val="32"/>
          <w:rtl/>
          <w:lang w:bidi="ar-TN"/>
        </w:rPr>
        <w:t>مجموع ما تم صرفه منذ انطلاق انجاز المشروع إلى غاية</w:t>
      </w:r>
      <w:r w:rsidRPr="00477C37">
        <w:rPr>
          <w:rFonts w:eastAsia="+mn-ea"/>
          <w:rtl/>
          <w:lang w:bidi="ar-TN"/>
        </w:rPr>
        <w:t xml:space="preserve"> </w:t>
      </w:r>
      <w:r w:rsidRPr="00136360">
        <w:rPr>
          <w:rFonts w:eastAsia="+mn-ea"/>
          <w:sz w:val="28"/>
          <w:szCs w:val="28"/>
          <w:rtl/>
          <w:lang w:bidi="ar-TN"/>
        </w:rPr>
        <w:t>31</w:t>
      </w:r>
      <w:r w:rsidRPr="00477C37">
        <w:rPr>
          <w:rFonts w:eastAsia="+mn-ea"/>
          <w:rtl/>
          <w:lang w:bidi="ar-TN"/>
        </w:rPr>
        <w:t xml:space="preserve"> </w:t>
      </w:r>
      <w:r w:rsidRPr="00136360">
        <w:rPr>
          <w:rFonts w:eastAsia="+mn-ea"/>
          <w:sz w:val="32"/>
          <w:szCs w:val="32"/>
          <w:rtl/>
          <w:lang w:bidi="ar-TN"/>
        </w:rPr>
        <w:t>ديسمبر</w:t>
      </w:r>
      <w:r w:rsidRPr="00477C37">
        <w:rPr>
          <w:rFonts w:eastAsia="+mn-ea"/>
          <w:rtl/>
          <w:lang w:bidi="ar-TN"/>
        </w:rPr>
        <w:t xml:space="preserve"> </w:t>
      </w:r>
      <w:r w:rsidR="00BA6851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202</w:t>
      </w:r>
      <w:r w:rsidR="004719AB">
        <w:rPr>
          <w:rFonts w:asciiTheme="majorBidi" w:eastAsia="+mn-ea" w:hAnsiTheme="majorBidi" w:cstheme="majorBidi" w:hint="cs"/>
          <w:sz w:val="28"/>
          <w:szCs w:val="28"/>
          <w:rtl/>
          <w:lang w:bidi="ar-TN"/>
        </w:rPr>
        <w:t>3</w:t>
      </w:r>
      <w:bookmarkStart w:id="0" w:name="_GoBack"/>
      <w:bookmarkEnd w:id="0"/>
      <w:r w:rsidRPr="00B866BB">
        <w:rPr>
          <w:rFonts w:ascii="Simplified Arabic" w:hAnsi="Simplified Arabic" w:cs="Simplified Arabic"/>
          <w:sz w:val="32"/>
          <w:szCs w:val="32"/>
          <w:rtl/>
        </w:rPr>
        <w:t>،</w:t>
      </w:r>
    </w:p>
    <w:p w:rsidR="009F62CA" w:rsidRPr="00ED1F4E" w:rsidRDefault="008D0A87" w:rsidP="00ED1F4E">
      <w:pPr>
        <w:bidi/>
        <w:spacing w:before="120" w:line="240" w:lineRule="auto"/>
        <w:ind w:right="-284" w:firstLine="425"/>
        <w:rPr>
          <w:rFonts w:ascii="Simplified Arabic" w:hAnsi="Simplified Arabic" w:cs="Simplified Arabic"/>
          <w:sz w:val="32"/>
          <w:szCs w:val="32"/>
          <w:rtl/>
        </w:rPr>
      </w:pPr>
      <w:r w:rsidRPr="00ED1F4E">
        <w:rPr>
          <w:rFonts w:ascii="Simplified Arabic" w:hAnsi="Simplified Arabic" w:cs="Simplified Arabic"/>
          <w:sz w:val="32"/>
          <w:szCs w:val="32"/>
          <w:rtl/>
        </w:rPr>
        <w:t>يجب أن تتم المصادقة على هذا ال</w:t>
      </w:r>
      <w:r w:rsidR="00F0208A" w:rsidRPr="00ED1F4E">
        <w:rPr>
          <w:rFonts w:ascii="Simplified Arabic" w:hAnsi="Simplified Arabic" w:cs="Simplified Arabic" w:hint="cs"/>
          <w:sz w:val="32"/>
          <w:szCs w:val="32"/>
          <w:rtl/>
        </w:rPr>
        <w:t>كشف</w:t>
      </w:r>
      <w:r w:rsidRPr="00ED1F4E">
        <w:rPr>
          <w:rFonts w:ascii="Simplified Arabic" w:hAnsi="Simplified Arabic" w:cs="Simplified Arabic"/>
          <w:sz w:val="32"/>
          <w:szCs w:val="32"/>
          <w:rtl/>
        </w:rPr>
        <w:t xml:space="preserve"> من قبل القابض البلدي </w:t>
      </w:r>
      <w:r w:rsidR="00BB4326" w:rsidRPr="00ED1F4E">
        <w:rPr>
          <w:rFonts w:ascii="Simplified Arabic" w:hAnsi="Simplified Arabic" w:cs="Simplified Arabic"/>
          <w:sz w:val="32"/>
          <w:szCs w:val="32"/>
          <w:rtl/>
        </w:rPr>
        <w:t>كما يجب أن يكون هذا ال</w:t>
      </w:r>
      <w:r w:rsidR="00F0208A" w:rsidRPr="00ED1F4E">
        <w:rPr>
          <w:rFonts w:ascii="Simplified Arabic" w:hAnsi="Simplified Arabic" w:cs="Simplified Arabic" w:hint="cs"/>
          <w:sz w:val="32"/>
          <w:szCs w:val="32"/>
          <w:rtl/>
        </w:rPr>
        <w:t>كشف</w:t>
      </w:r>
      <w:r w:rsidR="00BB4326" w:rsidRPr="00ED1F4E">
        <w:rPr>
          <w:rFonts w:ascii="Simplified Arabic" w:hAnsi="Simplified Arabic" w:cs="Simplified Arabic"/>
          <w:sz w:val="32"/>
          <w:szCs w:val="32"/>
          <w:rtl/>
        </w:rPr>
        <w:t xml:space="preserve"> مطابقا ل</w:t>
      </w:r>
      <w:r w:rsidRPr="00ED1F4E">
        <w:rPr>
          <w:rFonts w:ascii="Simplified Arabic" w:hAnsi="Simplified Arabic" w:cs="Simplified Arabic"/>
          <w:sz w:val="32"/>
          <w:szCs w:val="32"/>
          <w:rtl/>
        </w:rPr>
        <w:t>محتوى الجدول الثالث عشر</w:t>
      </w:r>
      <w:r w:rsidR="00394E1B" w:rsidRPr="00ED1F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394E1B" w:rsidRPr="00ED1F4E">
        <w:rPr>
          <w:rFonts w:ascii="Simplified Arabic" w:hAnsi="Simplified Arabic" w:cs="Simplified Arabic"/>
          <w:b/>
          <w:sz w:val="32"/>
          <w:szCs w:val="32"/>
          <w:rtl/>
        </w:rPr>
        <w:t>مع الإشارة إلى أنه لا يتم الأخذ بعين الاعتبار المبالغ التي تم رفض خلاصها من قبل القابض البلدي خلال السنة المنقضية.</w:t>
      </w:r>
    </w:p>
    <w:p w:rsidR="009F62CA" w:rsidRPr="00B866BB" w:rsidRDefault="009F62CA" w:rsidP="00B866BB">
      <w:pPr>
        <w:pStyle w:val="Paragraphedeliste"/>
        <w:tabs>
          <w:tab w:val="right" w:pos="425"/>
        </w:tabs>
        <w:bidi/>
        <w:spacing w:line="240" w:lineRule="auto"/>
        <w:ind w:left="425" w:firstLine="284"/>
        <w:contextualSpacing w:val="0"/>
        <w:rPr>
          <w:rFonts w:ascii="Simplified Arabic" w:hAnsi="Simplified Arabic" w:cs="Simplified Arabic"/>
          <w:bCs/>
          <w:color w:val="C00000"/>
          <w:sz w:val="32"/>
          <w:szCs w:val="32"/>
          <w:rtl/>
        </w:rPr>
      </w:pPr>
      <w:r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 xml:space="preserve">2 </w:t>
      </w:r>
      <w:r w:rsidR="00640004" w:rsidRPr="00B866BB">
        <w:rPr>
          <w:rFonts w:ascii="Simplified Arabic" w:hAnsi="Simplified Arabic" w:cs="Simplified Arabic"/>
          <w:bCs/>
          <w:color w:val="C00000"/>
          <w:sz w:val="32"/>
          <w:szCs w:val="32"/>
          <w:rtl/>
        </w:rPr>
        <w:t>–</w:t>
      </w:r>
      <w:r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 xml:space="preserve"> </w:t>
      </w:r>
      <w:r w:rsidR="00C77D48"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>مذكرة</w:t>
      </w:r>
      <w:r w:rsidR="00640004"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  <w:lang w:bidi="ar-TN"/>
        </w:rPr>
        <w:t xml:space="preserve"> </w:t>
      </w:r>
      <w:r w:rsidR="00D36703"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 xml:space="preserve">تفسيرية </w:t>
      </w:r>
      <w:r w:rsidR="00C77D48" w:rsidRPr="00B866BB">
        <w:rPr>
          <w:rFonts w:ascii="Simplified Arabic" w:hAnsi="Simplified Arabic" w:cs="Simplified Arabic" w:hint="cs"/>
          <w:bCs/>
          <w:color w:val="C00000"/>
          <w:sz w:val="32"/>
          <w:szCs w:val="32"/>
          <w:rtl/>
        </w:rPr>
        <w:t>موجزة</w:t>
      </w:r>
    </w:p>
    <w:p w:rsidR="00594B9B" w:rsidRDefault="00394E1B" w:rsidP="00761075">
      <w:pPr>
        <w:pStyle w:val="Paragraphedeliste"/>
        <w:tabs>
          <w:tab w:val="right" w:pos="425"/>
        </w:tabs>
        <w:bidi/>
        <w:ind w:left="425" w:right="-284" w:firstLine="283"/>
        <w:rPr>
          <w:rFonts w:ascii="Simplified Arabic" w:hAnsi="Simplified Arabic" w:cs="Simplified Arabic"/>
          <w:b/>
          <w:bCs/>
          <w:sz w:val="48"/>
          <w:szCs w:val="48"/>
          <w:rtl/>
          <w:lang w:bidi="ar-TN"/>
        </w:rPr>
      </w:pPr>
      <w:r w:rsidRPr="00B866BB">
        <w:rPr>
          <w:rFonts w:ascii="Simplified Arabic" w:hAnsi="Simplified Arabic" w:cs="Simplified Arabic" w:hint="cs"/>
          <w:b/>
          <w:sz w:val="32"/>
          <w:szCs w:val="32"/>
          <w:rtl/>
        </w:rPr>
        <w:t xml:space="preserve">مذكرة </w:t>
      </w:r>
      <w:r w:rsidR="00D36703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>تفسر النتائج التي تم تحقيقها على مستوى تنفيذ برنامج الاستثمار السنوي و</w:t>
      </w:r>
      <w:r w:rsidR="00C77D48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 xml:space="preserve">مبين بها مختلف الأحداث التي طرأت خلال فترة الإنجاز </w:t>
      </w:r>
      <w:r w:rsidR="00D36703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>بما فيها التغييرات التي حصلت مقارنة بالبرمجة الأصلية (وثيقة برنامج الاستثمار السنوي التي تم توجيهها للصندوق صحبة ملف الشروط الدنيا</w:t>
      </w:r>
      <w:r w:rsidR="00D36703" w:rsidRPr="008B600E">
        <w:rPr>
          <w:rFonts w:ascii="Simplified Arabic" w:hAnsi="Simplified Arabic" w:cs="Simplified Arabic" w:hint="cs"/>
          <w:b/>
          <w:sz w:val="36"/>
          <w:szCs w:val="36"/>
          <w:rtl/>
        </w:rPr>
        <w:t xml:space="preserve">) </w:t>
      </w:r>
      <w:r w:rsidR="00D36703" w:rsidRPr="00B866BB">
        <w:rPr>
          <w:rFonts w:ascii="Simplified Arabic" w:hAnsi="Simplified Arabic" w:cs="Simplified Arabic" w:hint="cs"/>
          <w:b/>
          <w:sz w:val="32"/>
          <w:szCs w:val="32"/>
          <w:rtl/>
        </w:rPr>
        <w:t>وتأثيراتها سواء على انطلاق تنفيذ كل مشروع أو مدة إنجازه أو على المبلغ المرصود لفائدته</w:t>
      </w:r>
      <w:r w:rsidR="00D36703" w:rsidRPr="008B600E">
        <w:rPr>
          <w:rFonts w:ascii="Simplified Arabic" w:hAnsi="Simplified Arabic" w:cs="Simplified Arabic" w:hint="cs"/>
          <w:b/>
          <w:sz w:val="36"/>
          <w:szCs w:val="36"/>
          <w:rtl/>
        </w:rPr>
        <w:t>.</w:t>
      </w:r>
      <w:r w:rsidR="00B866BB">
        <w:rPr>
          <w:rFonts w:ascii="Simplified Arabic" w:hAnsi="Simplified Arabic" w:cs="Simplified Arabic"/>
          <w:b/>
          <w:bCs/>
          <w:sz w:val="48"/>
          <w:szCs w:val="48"/>
          <w:rtl/>
          <w:lang w:bidi="ar-TN"/>
        </w:rPr>
        <w:t xml:space="preserve"> </w:t>
      </w:r>
    </w:p>
    <w:sectPr w:rsidR="00594B9B" w:rsidSect="00FD01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Num3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00000013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00000014"/>
    <w:name w:val="WWNum3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979298E"/>
    <w:multiLevelType w:val="hybridMultilevel"/>
    <w:tmpl w:val="EC529580"/>
    <w:lvl w:ilvl="0" w:tplc="0F4C389C">
      <w:start w:val="1"/>
      <w:numFmt w:val="decimal"/>
      <w:lvlText w:val="%1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3A62"/>
    <w:multiLevelType w:val="hybridMultilevel"/>
    <w:tmpl w:val="74E62E8A"/>
    <w:lvl w:ilvl="0" w:tplc="575266FE">
      <w:start w:val="1"/>
      <w:numFmt w:val="decimal"/>
      <w:lvlText w:val="%1-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60C7395"/>
    <w:multiLevelType w:val="hybridMultilevel"/>
    <w:tmpl w:val="5AE4452E"/>
    <w:lvl w:ilvl="0" w:tplc="2CEEE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63AD"/>
    <w:multiLevelType w:val="hybridMultilevel"/>
    <w:tmpl w:val="8C2E5374"/>
    <w:lvl w:ilvl="0" w:tplc="4B347262">
      <w:start w:val="1"/>
      <w:numFmt w:val="decimal"/>
      <w:lvlText w:val="%1-"/>
      <w:lvlJc w:val="left"/>
      <w:pPr>
        <w:ind w:left="854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8633FB"/>
    <w:multiLevelType w:val="hybridMultilevel"/>
    <w:tmpl w:val="B75CB22A"/>
    <w:lvl w:ilvl="0" w:tplc="AB4282D2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62433E4"/>
    <w:multiLevelType w:val="hybridMultilevel"/>
    <w:tmpl w:val="99FA75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196320"/>
    <w:multiLevelType w:val="hybridMultilevel"/>
    <w:tmpl w:val="13D66540"/>
    <w:lvl w:ilvl="0" w:tplc="AB4282D2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6C19C0"/>
    <w:multiLevelType w:val="hybridMultilevel"/>
    <w:tmpl w:val="395AC07E"/>
    <w:lvl w:ilvl="0" w:tplc="A6A0DC2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35682"/>
    <w:multiLevelType w:val="hybridMultilevel"/>
    <w:tmpl w:val="36723428"/>
    <w:lvl w:ilvl="0" w:tplc="BB4E434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55AF8"/>
    <w:multiLevelType w:val="hybridMultilevel"/>
    <w:tmpl w:val="04024244"/>
    <w:lvl w:ilvl="0" w:tplc="CE9CC83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972292"/>
    <w:multiLevelType w:val="hybridMultilevel"/>
    <w:tmpl w:val="AFA4BED8"/>
    <w:lvl w:ilvl="0" w:tplc="040C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C5385"/>
    <w:multiLevelType w:val="hybridMultilevel"/>
    <w:tmpl w:val="8FAC2016"/>
    <w:lvl w:ilvl="0" w:tplc="3A90F632">
      <w:start w:val="2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4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446"/>
    <w:rsid w:val="00005446"/>
    <w:rsid w:val="00032D31"/>
    <w:rsid w:val="000941CE"/>
    <w:rsid w:val="000B6821"/>
    <w:rsid w:val="000D5207"/>
    <w:rsid w:val="00136360"/>
    <w:rsid w:val="0013794E"/>
    <w:rsid w:val="00217493"/>
    <w:rsid w:val="002365B3"/>
    <w:rsid w:val="0024011C"/>
    <w:rsid w:val="00260190"/>
    <w:rsid w:val="00271A4B"/>
    <w:rsid w:val="00281A5A"/>
    <w:rsid w:val="002B04A3"/>
    <w:rsid w:val="00307879"/>
    <w:rsid w:val="00346104"/>
    <w:rsid w:val="00350115"/>
    <w:rsid w:val="00355D77"/>
    <w:rsid w:val="00394E1B"/>
    <w:rsid w:val="00397102"/>
    <w:rsid w:val="003D6796"/>
    <w:rsid w:val="003D681A"/>
    <w:rsid w:val="003F75FB"/>
    <w:rsid w:val="00427942"/>
    <w:rsid w:val="004360AE"/>
    <w:rsid w:val="00467459"/>
    <w:rsid w:val="004719AB"/>
    <w:rsid w:val="004F438F"/>
    <w:rsid w:val="004F5977"/>
    <w:rsid w:val="00543D9A"/>
    <w:rsid w:val="00551327"/>
    <w:rsid w:val="00565283"/>
    <w:rsid w:val="00594B9B"/>
    <w:rsid w:val="005975BB"/>
    <w:rsid w:val="005E5907"/>
    <w:rsid w:val="00640004"/>
    <w:rsid w:val="0067154D"/>
    <w:rsid w:val="00672CB1"/>
    <w:rsid w:val="007116DE"/>
    <w:rsid w:val="00761075"/>
    <w:rsid w:val="007A0D27"/>
    <w:rsid w:val="007B254E"/>
    <w:rsid w:val="00811E6D"/>
    <w:rsid w:val="00854F8A"/>
    <w:rsid w:val="00870D77"/>
    <w:rsid w:val="0088342D"/>
    <w:rsid w:val="008A1A71"/>
    <w:rsid w:val="008B600E"/>
    <w:rsid w:val="008D0A87"/>
    <w:rsid w:val="008D3C6A"/>
    <w:rsid w:val="00930A20"/>
    <w:rsid w:val="009C553D"/>
    <w:rsid w:val="009F62CA"/>
    <w:rsid w:val="00A10086"/>
    <w:rsid w:val="00A14730"/>
    <w:rsid w:val="00A247A3"/>
    <w:rsid w:val="00A513F9"/>
    <w:rsid w:val="00AB4F0C"/>
    <w:rsid w:val="00AF094B"/>
    <w:rsid w:val="00B540FD"/>
    <w:rsid w:val="00B84150"/>
    <w:rsid w:val="00B866BB"/>
    <w:rsid w:val="00BA6851"/>
    <w:rsid w:val="00BB4326"/>
    <w:rsid w:val="00BB5A8B"/>
    <w:rsid w:val="00C24803"/>
    <w:rsid w:val="00C3498E"/>
    <w:rsid w:val="00C45A41"/>
    <w:rsid w:val="00C77D48"/>
    <w:rsid w:val="00CB17F0"/>
    <w:rsid w:val="00CB3A8F"/>
    <w:rsid w:val="00CD7501"/>
    <w:rsid w:val="00D0295F"/>
    <w:rsid w:val="00D0708B"/>
    <w:rsid w:val="00D36703"/>
    <w:rsid w:val="00D3779A"/>
    <w:rsid w:val="00D7232A"/>
    <w:rsid w:val="00D76D55"/>
    <w:rsid w:val="00DB04B0"/>
    <w:rsid w:val="00E10E10"/>
    <w:rsid w:val="00E2070C"/>
    <w:rsid w:val="00E66842"/>
    <w:rsid w:val="00EC36E4"/>
    <w:rsid w:val="00EC6298"/>
    <w:rsid w:val="00ED1320"/>
    <w:rsid w:val="00ED1F4E"/>
    <w:rsid w:val="00F0208A"/>
    <w:rsid w:val="00F13BC4"/>
    <w:rsid w:val="00F7118E"/>
    <w:rsid w:val="00F72A64"/>
    <w:rsid w:val="00FA4C5D"/>
    <w:rsid w:val="00FB4256"/>
    <w:rsid w:val="00FB7B28"/>
    <w:rsid w:val="00FC165E"/>
    <w:rsid w:val="00FD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09DF"/>
  <w15:docId w15:val="{4A6808C6-F1D5-41B0-B31D-8DE0C49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41"/>
    <w:pPr>
      <w:suppressAutoHyphens/>
      <w:spacing w:after="120" w:line="100" w:lineRule="atLeast"/>
      <w:jc w:val="both"/>
      <w:textAlignment w:val="baseline"/>
    </w:pPr>
    <w:rPr>
      <w:rFonts w:ascii="Calibri" w:eastAsia="Times New Roman" w:hAnsi="Calibri" w:cs="Times New Roman"/>
      <w:kern w:val="1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C45A41"/>
  </w:style>
  <w:style w:type="paragraph" w:customStyle="1" w:styleId="3">
    <w:name w:val="3"/>
    <w:basedOn w:val="Normal"/>
    <w:rsid w:val="00CD7501"/>
    <w:pPr>
      <w:keepNext/>
      <w:keepLines/>
      <w:pBdr>
        <w:bottom w:val="single" w:sz="4" w:space="1" w:color="FF0000"/>
      </w:pBdr>
      <w:tabs>
        <w:tab w:val="left" w:pos="567"/>
        <w:tab w:val="right" w:pos="9000"/>
      </w:tabs>
      <w:spacing w:before="240" w:after="240"/>
    </w:pPr>
    <w:rPr>
      <w:rFonts w:eastAsia="SimSun" w:cs="Arial"/>
      <w:b/>
      <w:bCs/>
      <w:caps/>
      <w:sz w:val="28"/>
    </w:rPr>
  </w:style>
  <w:style w:type="paragraph" w:styleId="Commentaire">
    <w:name w:val="annotation text"/>
    <w:basedOn w:val="Normal"/>
    <w:link w:val="CommentaireCar"/>
    <w:uiPriority w:val="99"/>
    <w:unhideWhenUsed/>
    <w:rsid w:val="00CD75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750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styleId="Marquedecommentaire">
    <w:name w:val="annotation reference"/>
    <w:uiPriority w:val="99"/>
    <w:semiHidden/>
    <w:unhideWhenUsed/>
    <w:rsid w:val="00CD7501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50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B04B0"/>
    <w:pPr>
      <w:ind w:left="720"/>
      <w:contextualSpacing/>
    </w:pPr>
  </w:style>
  <w:style w:type="paragraph" w:customStyle="1" w:styleId="Paragraphedeliste1">
    <w:name w:val="Paragraphe de liste1"/>
    <w:basedOn w:val="Normal"/>
    <w:rsid w:val="00A14730"/>
    <w:pPr>
      <w:suppressAutoHyphens w:val="0"/>
      <w:spacing w:after="0" w:line="240" w:lineRule="auto"/>
      <w:ind w:left="720" w:firstLine="709"/>
      <w:jc w:val="left"/>
      <w:textAlignment w:val="auto"/>
    </w:pPr>
    <w:rPr>
      <w:rFonts w:cs="Arial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ZAGHDOUDI</dc:creator>
  <cp:lastModifiedBy>Faycel MOULAHI</cp:lastModifiedBy>
  <cp:revision>8</cp:revision>
  <cp:lastPrinted>2016-09-19T07:24:00Z</cp:lastPrinted>
  <dcterms:created xsi:type="dcterms:W3CDTF">2020-01-02T12:40:00Z</dcterms:created>
  <dcterms:modified xsi:type="dcterms:W3CDTF">2024-01-02T10:22:00Z</dcterms:modified>
</cp:coreProperties>
</file>